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9207" cy="70961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07" cy="70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351"/>
        <w:ind w:left="1436" w:right="858" w:firstLine="2204"/>
        <w:jc w:val="left"/>
        <w:rPr>
          <w:b/>
          <w:sz w:val="40"/>
        </w:rPr>
      </w:pPr>
      <w:r>
        <w:rPr>
          <w:b/>
          <w:spacing w:val="-2"/>
          <w:sz w:val="40"/>
        </w:rPr>
        <w:t>Администрация </w:t>
      </w:r>
      <w:r>
        <w:rPr>
          <w:b/>
          <w:sz w:val="40"/>
        </w:rPr>
        <w:t>Княгининского</w:t>
      </w:r>
      <w:r>
        <w:rPr>
          <w:b/>
          <w:spacing w:val="-21"/>
          <w:sz w:val="40"/>
        </w:rPr>
        <w:t> </w:t>
      </w:r>
      <w:r>
        <w:rPr>
          <w:b/>
          <w:sz w:val="40"/>
        </w:rPr>
        <w:t>муниципального</w:t>
      </w:r>
      <w:r>
        <w:rPr>
          <w:b/>
          <w:spacing w:val="-21"/>
          <w:sz w:val="40"/>
        </w:rPr>
        <w:t> </w:t>
      </w:r>
      <w:r>
        <w:rPr>
          <w:b/>
          <w:sz w:val="40"/>
        </w:rPr>
        <w:t>округа</w:t>
      </w:r>
    </w:p>
    <w:p>
      <w:pPr>
        <w:spacing w:before="0"/>
        <w:ind w:left="2913" w:right="0" w:firstLine="0"/>
        <w:jc w:val="left"/>
        <w:rPr>
          <w:b/>
          <w:sz w:val="40"/>
        </w:rPr>
      </w:pPr>
      <w:r>
        <w:rPr>
          <w:b/>
          <w:sz w:val="40"/>
        </w:rPr>
        <w:t>Нижегородской</w:t>
      </w:r>
      <w:r>
        <w:rPr>
          <w:b/>
          <w:spacing w:val="-8"/>
          <w:sz w:val="40"/>
        </w:rPr>
        <w:t> </w:t>
      </w:r>
      <w:r>
        <w:rPr>
          <w:b/>
          <w:spacing w:val="-2"/>
          <w:sz w:val="40"/>
        </w:rPr>
        <w:t>области</w:t>
      </w:r>
    </w:p>
    <w:p>
      <w:pPr>
        <w:pStyle w:val="BodyText"/>
        <w:spacing w:before="229"/>
        <w:jc w:val="left"/>
        <w:rPr>
          <w:b/>
          <w:sz w:val="40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4860035</wp:posOffset>
                </wp:positionH>
                <wp:positionV relativeFrom="paragraph">
                  <wp:posOffset>610080</wp:posOffset>
                </wp:positionV>
                <wp:extent cx="1224280" cy="2667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22428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104" w:val="left" w:leader="none"/>
                              </w:tabs>
                              <w:spacing w:before="98"/>
                              <w:ind w:left="-13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№ </w:t>
                            </w:r>
                            <w:r>
                              <w:rPr>
                                <w:sz w:val="2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82.679993pt;margin-top:48.037811pt;width:96.4pt;height:21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tabs>
                          <w:tab w:pos="1104" w:val="left" w:leader="none"/>
                        </w:tabs>
                        <w:spacing w:before="98"/>
                        <w:ind w:left="-13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№ </w:t>
                      </w:r>
                      <w:r>
                        <w:rPr>
                          <w:sz w:val="28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4860035</wp:posOffset>
            </wp:positionH>
            <wp:positionV relativeFrom="paragraph">
              <wp:posOffset>610080</wp:posOffset>
            </wp:positionV>
            <wp:extent cx="1224026" cy="179958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026" cy="179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ПОСТАНОВЛЕНИЕ</w:t>
      </w:r>
    </w:p>
    <w:p>
      <w:pPr>
        <w:pStyle w:val="BodyText"/>
        <w:spacing w:before="6"/>
        <w:jc w:val="left"/>
        <w:rPr>
          <w:b/>
          <w:sz w:val="10"/>
        </w:rPr>
      </w:pPr>
      <w:r>
        <w:rPr>
          <w:b/>
          <w:sz w:val="1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935989</wp:posOffset>
            </wp:positionH>
            <wp:positionV relativeFrom="paragraph">
              <wp:posOffset>92589</wp:posOffset>
            </wp:positionV>
            <wp:extent cx="951182" cy="182879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182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2373" w:val="left" w:leader="none"/>
        </w:tabs>
        <w:spacing w:before="0"/>
        <w:ind w:left="0" w:right="0" w:firstLine="0"/>
        <w:jc w:val="left"/>
        <w:rPr>
          <w:sz w:val="28"/>
        </w:rPr>
      </w:pPr>
      <w:r>
        <w:rPr>
          <w:b/>
          <w:sz w:val="28"/>
        </w:rPr>
        <w:t>от </w:t>
      </w:r>
      <w:r>
        <w:rPr>
          <w:sz w:val="28"/>
          <w:u w:val="single"/>
        </w:rPr>
        <w:tab/>
      </w:r>
    </w:p>
    <w:p>
      <w:pPr>
        <w:pStyle w:val="BodyText"/>
        <w:spacing w:before="210"/>
        <w:jc w:val="left"/>
      </w:pPr>
    </w:p>
    <w:p>
      <w:pPr>
        <w:pStyle w:val="BodyText"/>
        <w:ind w:left="114" w:right="4505"/>
      </w:pPr>
      <w:r>
        <w:rPr/>
        <w:t>О внесении изменений в Примерное положение об оплате труда работников муниципальных учреждений Княгининского муниципального округа Нижегородской области</w:t>
      </w:r>
      <w:r>
        <w:rPr>
          <w:spacing w:val="17"/>
        </w:rPr>
        <w:t> </w:t>
      </w:r>
      <w:r>
        <w:rPr/>
        <w:t>по</w:t>
      </w:r>
      <w:r>
        <w:rPr>
          <w:spacing w:val="19"/>
        </w:rPr>
        <w:t> </w:t>
      </w:r>
      <w:r>
        <w:rPr/>
        <w:t>виду</w:t>
      </w:r>
      <w:r>
        <w:rPr>
          <w:spacing w:val="19"/>
        </w:rPr>
        <w:t> </w:t>
      </w:r>
      <w:r>
        <w:rPr/>
        <w:t>экономической</w:t>
      </w:r>
      <w:r>
        <w:rPr>
          <w:spacing w:val="20"/>
        </w:rPr>
        <w:t> </w:t>
      </w:r>
      <w:r>
        <w:rPr>
          <w:spacing w:val="-2"/>
        </w:rPr>
        <w:t>деятельности</w:t>
      </w:r>
    </w:p>
    <w:p>
      <w:pPr>
        <w:pStyle w:val="BodyText"/>
        <w:tabs>
          <w:tab w:pos="3755" w:val="left" w:leader="none"/>
        </w:tabs>
        <w:ind w:left="114" w:right="4505"/>
      </w:pPr>
      <w:r>
        <w:rPr/>
        <w:t>«Издание</w:t>
      </w:r>
      <w:r>
        <w:rPr>
          <w:spacing w:val="-5"/>
        </w:rPr>
        <w:t> </w:t>
      </w:r>
      <w:r>
        <w:rPr/>
        <w:t>газет»</w:t>
      </w:r>
      <w:r>
        <w:rPr>
          <w:spacing w:val="-5"/>
        </w:rPr>
        <w:t> </w:t>
      </w:r>
      <w:r>
        <w:rPr/>
        <w:t>(код</w:t>
      </w:r>
      <w:r>
        <w:rPr>
          <w:spacing w:val="-5"/>
        </w:rPr>
        <w:t> </w:t>
      </w:r>
      <w:r>
        <w:rPr/>
        <w:t>58.13)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«Деятельность</w:t>
      </w:r>
      <w:r>
        <w:rPr>
          <w:spacing w:val="-5"/>
        </w:rPr>
        <w:t> </w:t>
      </w:r>
      <w:r>
        <w:rPr/>
        <w:t>в области</w:t>
      </w:r>
      <w:r>
        <w:rPr>
          <w:spacing w:val="-8"/>
        </w:rPr>
        <w:t> </w:t>
      </w:r>
      <w:r>
        <w:rPr/>
        <w:t>телевизионного</w:t>
      </w:r>
      <w:r>
        <w:rPr>
          <w:spacing w:val="-8"/>
        </w:rPr>
        <w:t> </w:t>
      </w:r>
      <w:r>
        <w:rPr/>
        <w:t>вещания»</w:t>
      </w:r>
      <w:r>
        <w:rPr>
          <w:spacing w:val="-8"/>
        </w:rPr>
        <w:t> </w:t>
      </w:r>
      <w:r>
        <w:rPr/>
        <w:t>(код</w:t>
      </w:r>
      <w:r>
        <w:rPr>
          <w:spacing w:val="-8"/>
        </w:rPr>
        <w:t> </w:t>
      </w:r>
      <w:r>
        <w:rPr/>
        <w:t>60.20), </w:t>
      </w:r>
      <w:r>
        <w:rPr>
          <w:spacing w:val="-2"/>
        </w:rPr>
        <w:t>утвержденное</w:t>
      </w:r>
      <w:r>
        <w:rPr/>
        <w:tab/>
      </w:r>
      <w:r>
        <w:rPr>
          <w:spacing w:val="-2"/>
        </w:rPr>
        <w:t>постановлением</w:t>
      </w:r>
    </w:p>
    <w:p>
      <w:pPr>
        <w:pStyle w:val="BodyText"/>
        <w:tabs>
          <w:tab w:pos="3868" w:val="left" w:leader="none"/>
        </w:tabs>
        <w:ind w:left="114" w:right="4505"/>
      </w:pPr>
      <w:r>
        <w:rPr>
          <w:spacing w:val="-2"/>
        </w:rPr>
        <w:t>администрации</w:t>
      </w:r>
      <w:r>
        <w:rPr/>
        <w:tab/>
      </w:r>
      <w:r>
        <w:rPr>
          <w:spacing w:val="-2"/>
        </w:rPr>
        <w:t>Княгининского </w:t>
      </w:r>
      <w:r>
        <w:rPr/>
        <w:t>муниципального округа Нижегородской области от 26.10.2023 № 1094</w:t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line="360" w:lineRule="auto"/>
        <w:ind w:right="4" w:firstLine="708"/>
        <w:rPr>
          <w:b/>
        </w:rPr>
      </w:pP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Трудовым</w:t>
      </w:r>
      <w:r>
        <w:rPr>
          <w:spacing w:val="-3"/>
        </w:rPr>
        <w:t> </w:t>
      </w:r>
      <w:r>
        <w:rPr/>
        <w:t>кодексом</w:t>
      </w:r>
      <w:r>
        <w:rPr>
          <w:spacing w:val="-3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Федерации,</w:t>
      </w:r>
      <w:r>
        <w:rPr>
          <w:spacing w:val="-3"/>
        </w:rPr>
        <w:t> </w:t>
      </w:r>
      <w:r>
        <w:rPr/>
        <w:t>постановлением администрации Княгининского муниципального округа от 21.03.2023 № 265 «Об утверждении Положения об отраслевой системе оплаты труда работников муниципальных бюджетных, автономных и казенных учреждений Княгининского муниципального округа Нижегородской области», администрация Княгининского муниципального округа </w:t>
      </w:r>
      <w:r>
        <w:rPr>
          <w:b/>
        </w:rPr>
        <w:t>п о с т а н о в л я е т:</w:t>
      </w:r>
    </w:p>
    <w:p>
      <w:pPr>
        <w:pStyle w:val="ListParagraph"/>
        <w:numPr>
          <w:ilvl w:val="0"/>
          <w:numId w:val="1"/>
        </w:numPr>
        <w:tabs>
          <w:tab w:pos="921" w:val="left" w:leader="none"/>
        </w:tabs>
        <w:spacing w:line="360" w:lineRule="auto" w:before="0" w:after="0"/>
        <w:ind w:left="0" w:right="5" w:firstLine="640"/>
        <w:jc w:val="both"/>
        <w:rPr>
          <w:sz w:val="28"/>
        </w:rPr>
      </w:pPr>
      <w:r>
        <w:rPr>
          <w:sz w:val="28"/>
        </w:rPr>
        <w:t>Внести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Примерное</w:t>
      </w:r>
      <w:r>
        <w:rPr>
          <w:spacing w:val="-4"/>
          <w:sz w:val="28"/>
        </w:rPr>
        <w:t> </w:t>
      </w:r>
      <w:r>
        <w:rPr>
          <w:sz w:val="28"/>
        </w:rPr>
        <w:t>положение</w:t>
      </w:r>
      <w:r>
        <w:rPr>
          <w:spacing w:val="-4"/>
          <w:sz w:val="28"/>
        </w:rPr>
        <w:t> </w:t>
      </w:r>
      <w:r>
        <w:rPr>
          <w:sz w:val="28"/>
        </w:rPr>
        <w:t>об</w:t>
      </w:r>
      <w:r>
        <w:rPr>
          <w:spacing w:val="-4"/>
          <w:sz w:val="28"/>
        </w:rPr>
        <w:t> </w:t>
      </w:r>
      <w:r>
        <w:rPr>
          <w:sz w:val="28"/>
        </w:rPr>
        <w:t>оплате</w:t>
      </w:r>
      <w:r>
        <w:rPr>
          <w:spacing w:val="-4"/>
          <w:sz w:val="28"/>
        </w:rPr>
        <w:t> </w:t>
      </w:r>
      <w:r>
        <w:rPr>
          <w:sz w:val="28"/>
        </w:rPr>
        <w:t>труда</w:t>
      </w:r>
      <w:r>
        <w:rPr>
          <w:spacing w:val="-4"/>
          <w:sz w:val="28"/>
        </w:rPr>
        <w:t> </w:t>
      </w:r>
      <w:r>
        <w:rPr>
          <w:sz w:val="28"/>
        </w:rPr>
        <w:t>работников</w:t>
      </w:r>
      <w:r>
        <w:rPr>
          <w:spacing w:val="-4"/>
          <w:sz w:val="28"/>
        </w:rPr>
        <w:t> </w:t>
      </w:r>
      <w:r>
        <w:rPr>
          <w:sz w:val="28"/>
        </w:rPr>
        <w:t>муниципальных учреждений Княгининского муниципального округа Нижегородской области по виду</w:t>
      </w:r>
      <w:r>
        <w:rPr>
          <w:spacing w:val="40"/>
          <w:sz w:val="28"/>
        </w:rPr>
        <w:t> </w:t>
      </w:r>
      <w:r>
        <w:rPr>
          <w:sz w:val="28"/>
        </w:rPr>
        <w:t>экономической</w:t>
      </w:r>
      <w:r>
        <w:rPr>
          <w:spacing w:val="40"/>
          <w:sz w:val="28"/>
        </w:rPr>
        <w:t> </w:t>
      </w:r>
      <w:r>
        <w:rPr>
          <w:sz w:val="28"/>
        </w:rPr>
        <w:t>деятельности</w:t>
      </w:r>
      <w:r>
        <w:rPr>
          <w:spacing w:val="40"/>
          <w:sz w:val="28"/>
        </w:rPr>
        <w:t> </w:t>
      </w:r>
      <w:r>
        <w:rPr>
          <w:sz w:val="28"/>
        </w:rPr>
        <w:t>«Издание</w:t>
      </w:r>
      <w:r>
        <w:rPr>
          <w:spacing w:val="40"/>
          <w:sz w:val="28"/>
        </w:rPr>
        <w:t> </w:t>
      </w:r>
      <w:r>
        <w:rPr>
          <w:sz w:val="28"/>
        </w:rPr>
        <w:t>газет»</w:t>
      </w:r>
      <w:r>
        <w:rPr>
          <w:spacing w:val="40"/>
          <w:sz w:val="28"/>
        </w:rPr>
        <w:t> </w:t>
      </w:r>
      <w:r>
        <w:rPr>
          <w:sz w:val="28"/>
        </w:rPr>
        <w:t>(код</w:t>
      </w:r>
      <w:r>
        <w:rPr>
          <w:spacing w:val="40"/>
          <w:sz w:val="28"/>
        </w:rPr>
        <w:t> </w:t>
      </w:r>
      <w:r>
        <w:rPr>
          <w:sz w:val="28"/>
        </w:rPr>
        <w:t>58.13)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«Деятельность</w:t>
      </w:r>
      <w:r>
        <w:rPr>
          <w:spacing w:val="40"/>
          <w:sz w:val="28"/>
        </w:rPr>
        <w:t> </w:t>
      </w:r>
      <w:r>
        <w:rPr>
          <w:sz w:val="28"/>
        </w:rPr>
        <w:t>в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type w:val="continuous"/>
          <w:pgSz w:w="11910" w:h="16840"/>
          <w:pgMar w:top="1100" w:bottom="280" w:left="1133" w:right="566"/>
        </w:sectPr>
      </w:pPr>
    </w:p>
    <w:p>
      <w:pPr>
        <w:pStyle w:val="BodyText"/>
        <w:spacing w:line="360" w:lineRule="auto" w:before="60"/>
        <w:ind w:right="2"/>
      </w:pPr>
      <w:r>
        <w:rPr/>
        <w:t>области телевизионного вещания» (код 60.20), утвержденное постановлением администрации Княгининского муниципального округа Нижегородской области от 26.10.2023 № 1094 (с изменениями, внесенными постановлениями администрации Княгининского</w:t>
      </w:r>
      <w:r>
        <w:rPr>
          <w:spacing w:val="15"/>
        </w:rPr>
        <w:t> </w:t>
      </w:r>
      <w:r>
        <w:rPr/>
        <w:t>муниципального</w:t>
      </w:r>
      <w:r>
        <w:rPr>
          <w:spacing w:val="15"/>
        </w:rPr>
        <w:t> </w:t>
      </w:r>
      <w:r>
        <w:rPr/>
        <w:t>округа</w:t>
      </w:r>
      <w:r>
        <w:rPr>
          <w:spacing w:val="16"/>
        </w:rPr>
        <w:t> </w:t>
      </w:r>
      <w:r>
        <w:rPr/>
        <w:t>от</w:t>
      </w:r>
      <w:r>
        <w:rPr>
          <w:spacing w:val="15"/>
        </w:rPr>
        <w:t> </w:t>
      </w:r>
      <w:r>
        <w:rPr/>
        <w:t>30.10.2023</w:t>
      </w:r>
      <w:r>
        <w:rPr>
          <w:spacing w:val="16"/>
        </w:rPr>
        <w:t> </w:t>
      </w:r>
      <w:r>
        <w:rPr/>
        <w:t>№</w:t>
      </w:r>
      <w:r>
        <w:rPr>
          <w:spacing w:val="15"/>
        </w:rPr>
        <w:t> </w:t>
      </w:r>
      <w:r>
        <w:rPr/>
        <w:t>1109,</w:t>
      </w:r>
      <w:r>
        <w:rPr>
          <w:spacing w:val="15"/>
        </w:rPr>
        <w:t> </w:t>
      </w:r>
      <w:r>
        <w:rPr/>
        <w:t>от</w:t>
      </w:r>
      <w:r>
        <w:rPr>
          <w:spacing w:val="16"/>
        </w:rPr>
        <w:t> </w:t>
      </w:r>
      <w:r>
        <w:rPr/>
        <w:t>04.10.2024</w:t>
      </w:r>
      <w:r>
        <w:rPr>
          <w:spacing w:val="15"/>
        </w:rPr>
        <w:t> </w:t>
      </w:r>
      <w:r>
        <w:rPr/>
        <w:t>№</w:t>
      </w:r>
      <w:r>
        <w:rPr>
          <w:spacing w:val="16"/>
        </w:rPr>
        <w:t> </w:t>
      </w:r>
      <w:r>
        <w:rPr>
          <w:spacing w:val="-4"/>
        </w:rPr>
        <w:t>971,</w:t>
      </w:r>
    </w:p>
    <w:p>
      <w:pPr>
        <w:pStyle w:val="BodyText"/>
      </w:pPr>
      <w:r>
        <w:rPr/>
        <w:t>от</w:t>
      </w:r>
      <w:r>
        <w:rPr>
          <w:spacing w:val="-1"/>
        </w:rPr>
        <w:t> </w:t>
      </w:r>
      <w:r>
        <w:rPr/>
        <w:t>24.01.2025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67)</w:t>
      </w:r>
      <w:r>
        <w:rPr>
          <w:spacing w:val="-1"/>
        </w:rPr>
        <w:t> </w:t>
      </w:r>
      <w:r>
        <w:rPr/>
        <w:t>следующие</w:t>
      </w:r>
      <w:r>
        <w:rPr>
          <w:spacing w:val="-1"/>
        </w:rPr>
        <w:t> </w:t>
      </w:r>
      <w:r>
        <w:rPr>
          <w:spacing w:val="-2"/>
        </w:rPr>
        <w:t>изменения:</w:t>
      </w:r>
    </w:p>
    <w:p>
      <w:pPr>
        <w:pStyle w:val="ListParagraph"/>
        <w:numPr>
          <w:ilvl w:val="1"/>
          <w:numId w:val="1"/>
        </w:numPr>
        <w:tabs>
          <w:tab w:pos="1030" w:val="left" w:leader="none"/>
        </w:tabs>
        <w:spacing w:line="240" w:lineRule="auto" w:before="161" w:after="0"/>
        <w:ind w:left="1030" w:right="0" w:hanging="490"/>
        <w:jc w:val="both"/>
        <w:rPr>
          <w:sz w:val="28"/>
        </w:rPr>
      </w:pPr>
      <w:r>
        <w:rPr>
          <w:sz w:val="28"/>
        </w:rPr>
        <w:t>Пункт</w:t>
      </w:r>
      <w:r>
        <w:rPr>
          <w:spacing w:val="-3"/>
          <w:sz w:val="28"/>
        </w:rPr>
        <w:t> </w:t>
      </w:r>
      <w:r>
        <w:rPr>
          <w:sz w:val="28"/>
        </w:rPr>
        <w:t>2.3.2</w:t>
      </w:r>
      <w:r>
        <w:rPr>
          <w:spacing w:val="-3"/>
          <w:sz w:val="28"/>
        </w:rPr>
        <w:t> </w:t>
      </w:r>
      <w:r>
        <w:rPr>
          <w:sz w:val="28"/>
        </w:rPr>
        <w:t>изложить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следующей</w:t>
      </w:r>
      <w:r>
        <w:rPr>
          <w:spacing w:val="-2"/>
          <w:sz w:val="28"/>
        </w:rPr>
        <w:t> редакции:</w:t>
      </w:r>
    </w:p>
    <w:p>
      <w:pPr>
        <w:pStyle w:val="BodyText"/>
        <w:spacing w:line="360" w:lineRule="auto" w:before="161"/>
        <w:ind w:right="5" w:firstLine="539"/>
      </w:pPr>
      <w:r>
        <w:rPr/>
        <w:t>«2.3.2. В соответствии с перечнем видов выплат стимулирующего характера в учреждении могут устанавливаться следующие выплаты стимулирующего </w:t>
      </w:r>
      <w:r>
        <w:rPr>
          <w:spacing w:val="-2"/>
        </w:rPr>
        <w:t>характера:</w:t>
      </w:r>
    </w:p>
    <w:p>
      <w:pPr>
        <w:pStyle w:val="ListParagraph"/>
        <w:numPr>
          <w:ilvl w:val="2"/>
          <w:numId w:val="1"/>
        </w:numPr>
        <w:tabs>
          <w:tab w:pos="703" w:val="left" w:leader="none"/>
        </w:tabs>
        <w:spacing w:line="240" w:lineRule="auto" w:before="0" w:after="0"/>
        <w:ind w:left="703" w:right="0" w:hanging="163"/>
        <w:jc w:val="both"/>
        <w:rPr>
          <w:sz w:val="28"/>
        </w:rPr>
      </w:pPr>
      <w:r>
        <w:rPr>
          <w:sz w:val="28"/>
        </w:rPr>
        <w:t>надбавка</w:t>
      </w:r>
      <w:r>
        <w:rPr>
          <w:spacing w:val="-2"/>
          <w:sz w:val="28"/>
        </w:rPr>
        <w:t> </w:t>
      </w:r>
      <w:r>
        <w:rPr>
          <w:sz w:val="28"/>
        </w:rPr>
        <w:t>за</w:t>
      </w:r>
      <w:r>
        <w:rPr>
          <w:spacing w:val="-2"/>
          <w:sz w:val="28"/>
        </w:rPr>
        <w:t> </w:t>
      </w:r>
      <w:r>
        <w:rPr>
          <w:sz w:val="28"/>
        </w:rPr>
        <w:t>качество</w:t>
      </w:r>
      <w:r>
        <w:rPr>
          <w:spacing w:val="-2"/>
          <w:sz w:val="28"/>
        </w:rPr>
        <w:t> </w:t>
      </w:r>
      <w:r>
        <w:rPr>
          <w:sz w:val="28"/>
        </w:rPr>
        <w:t>выполняемых</w:t>
      </w:r>
      <w:r>
        <w:rPr>
          <w:spacing w:val="-2"/>
          <w:sz w:val="28"/>
        </w:rPr>
        <w:t> работ;</w:t>
      </w:r>
    </w:p>
    <w:p>
      <w:pPr>
        <w:pStyle w:val="ListParagraph"/>
        <w:numPr>
          <w:ilvl w:val="2"/>
          <w:numId w:val="1"/>
        </w:numPr>
        <w:tabs>
          <w:tab w:pos="703" w:val="left" w:leader="none"/>
        </w:tabs>
        <w:spacing w:line="240" w:lineRule="auto" w:before="161" w:after="0"/>
        <w:ind w:left="703" w:right="0" w:hanging="163"/>
        <w:jc w:val="both"/>
        <w:rPr>
          <w:sz w:val="28"/>
        </w:rPr>
      </w:pPr>
      <w:r>
        <w:rPr>
          <w:sz w:val="28"/>
        </w:rPr>
        <w:t>выплаты</w:t>
      </w:r>
      <w:r>
        <w:rPr>
          <w:spacing w:val="-6"/>
          <w:sz w:val="28"/>
        </w:rPr>
        <w:t> </w:t>
      </w:r>
      <w:r>
        <w:rPr>
          <w:sz w:val="28"/>
        </w:rPr>
        <w:t>за</w:t>
      </w:r>
      <w:r>
        <w:rPr>
          <w:spacing w:val="-4"/>
          <w:sz w:val="28"/>
        </w:rPr>
        <w:t> </w:t>
      </w:r>
      <w:r>
        <w:rPr>
          <w:sz w:val="28"/>
        </w:rPr>
        <w:t>интенсивность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высокие</w:t>
      </w:r>
      <w:r>
        <w:rPr>
          <w:spacing w:val="-4"/>
          <w:sz w:val="28"/>
        </w:rPr>
        <w:t> </w:t>
      </w:r>
      <w:r>
        <w:rPr>
          <w:sz w:val="28"/>
        </w:rPr>
        <w:t>результаты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работы;</w:t>
      </w:r>
    </w:p>
    <w:p>
      <w:pPr>
        <w:pStyle w:val="ListParagraph"/>
        <w:numPr>
          <w:ilvl w:val="2"/>
          <w:numId w:val="1"/>
        </w:numPr>
        <w:tabs>
          <w:tab w:pos="703" w:val="left" w:leader="none"/>
        </w:tabs>
        <w:spacing w:line="240" w:lineRule="auto" w:before="161" w:after="0"/>
        <w:ind w:left="703" w:right="0" w:hanging="163"/>
        <w:jc w:val="both"/>
        <w:rPr>
          <w:sz w:val="28"/>
        </w:rPr>
      </w:pPr>
      <w:r>
        <w:rPr>
          <w:sz w:val="28"/>
        </w:rPr>
        <w:t>выплаты</w:t>
      </w:r>
      <w:r>
        <w:rPr>
          <w:spacing w:val="-3"/>
          <w:sz w:val="28"/>
        </w:rPr>
        <w:t> </w:t>
      </w:r>
      <w:r>
        <w:rPr>
          <w:sz w:val="28"/>
        </w:rPr>
        <w:t>за</w:t>
      </w:r>
      <w:r>
        <w:rPr>
          <w:spacing w:val="-3"/>
          <w:sz w:val="28"/>
        </w:rPr>
        <w:t> </w:t>
      </w:r>
      <w:r>
        <w:rPr>
          <w:sz w:val="28"/>
        </w:rPr>
        <w:t>стаж</w:t>
      </w:r>
      <w:r>
        <w:rPr>
          <w:spacing w:val="-3"/>
          <w:sz w:val="28"/>
        </w:rPr>
        <w:t> </w:t>
      </w:r>
      <w:r>
        <w:rPr>
          <w:sz w:val="28"/>
        </w:rPr>
        <w:t>непрерывной</w:t>
      </w:r>
      <w:r>
        <w:rPr>
          <w:spacing w:val="-3"/>
          <w:sz w:val="28"/>
        </w:rPr>
        <w:t> </w:t>
      </w:r>
      <w:r>
        <w:rPr>
          <w:sz w:val="28"/>
        </w:rPr>
        <w:t>работы,</w:t>
      </w:r>
      <w:r>
        <w:rPr>
          <w:spacing w:val="-3"/>
          <w:sz w:val="28"/>
        </w:rPr>
        <w:t> </w:t>
      </w:r>
      <w:r>
        <w:rPr>
          <w:sz w:val="28"/>
        </w:rPr>
        <w:t>выслугу</w:t>
      </w:r>
      <w:r>
        <w:rPr>
          <w:spacing w:val="-2"/>
          <w:sz w:val="28"/>
        </w:rPr>
        <w:t> </w:t>
      </w:r>
      <w:r>
        <w:rPr>
          <w:spacing w:val="-4"/>
          <w:sz w:val="28"/>
        </w:rPr>
        <w:t>лет;</w:t>
      </w:r>
    </w:p>
    <w:p>
      <w:pPr>
        <w:pStyle w:val="ListParagraph"/>
        <w:numPr>
          <w:ilvl w:val="2"/>
          <w:numId w:val="1"/>
        </w:numPr>
        <w:tabs>
          <w:tab w:pos="703" w:val="left" w:leader="none"/>
        </w:tabs>
        <w:spacing w:line="240" w:lineRule="auto" w:before="161" w:after="0"/>
        <w:ind w:left="703" w:right="0" w:hanging="163"/>
        <w:jc w:val="both"/>
        <w:rPr>
          <w:sz w:val="28"/>
        </w:rPr>
      </w:pPr>
      <w:r>
        <w:rPr>
          <w:sz w:val="28"/>
        </w:rPr>
        <w:t>премиальные</w:t>
      </w:r>
      <w:r>
        <w:rPr>
          <w:spacing w:val="-4"/>
          <w:sz w:val="28"/>
        </w:rPr>
        <w:t> </w:t>
      </w:r>
      <w:r>
        <w:rPr>
          <w:sz w:val="28"/>
        </w:rPr>
        <w:t>выплаты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4"/>
          <w:sz w:val="28"/>
        </w:rPr>
        <w:t> </w:t>
      </w:r>
      <w:r>
        <w:rPr>
          <w:sz w:val="28"/>
        </w:rPr>
        <w:t>итогам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работы.</w:t>
      </w:r>
    </w:p>
    <w:p>
      <w:pPr>
        <w:pStyle w:val="BodyText"/>
        <w:spacing w:line="360" w:lineRule="auto" w:before="161"/>
        <w:ind w:right="5" w:firstLine="539"/>
      </w:pPr>
      <w:r>
        <w:rPr/>
        <w:t>Размеры и условия осуществления выплат стимулирующего характера для всех категорий работников учреждения устанавливаются коллективным договором, соглашениями,</w:t>
      </w:r>
      <w:r>
        <w:rPr>
          <w:spacing w:val="-3"/>
        </w:rPr>
        <w:t> </w:t>
      </w:r>
      <w:r>
        <w:rPr/>
        <w:t>локальными</w:t>
      </w:r>
      <w:r>
        <w:rPr>
          <w:spacing w:val="-3"/>
        </w:rPr>
        <w:t> </w:t>
      </w:r>
      <w:r>
        <w:rPr/>
        <w:t>нормативными</w:t>
      </w:r>
      <w:r>
        <w:rPr>
          <w:spacing w:val="-3"/>
        </w:rPr>
        <w:t> </w:t>
      </w:r>
      <w:r>
        <w:rPr/>
        <w:t>актами,</w:t>
      </w:r>
      <w:r>
        <w:rPr>
          <w:spacing w:val="-3"/>
        </w:rPr>
        <w:t> </w:t>
      </w:r>
      <w:r>
        <w:rPr/>
        <w:t>принимаемыми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учетом</w:t>
      </w:r>
      <w:r>
        <w:rPr>
          <w:spacing w:val="-3"/>
        </w:rPr>
        <w:t> </w:t>
      </w:r>
      <w:r>
        <w:rPr/>
        <w:t>мнения представительного органа работников на основе формализованных показателей и критериев эффективности работы, измеряемых качественными и количественными </w:t>
      </w:r>
      <w:r>
        <w:rPr>
          <w:spacing w:val="-2"/>
        </w:rPr>
        <w:t>показателями.</w:t>
      </w:r>
    </w:p>
    <w:p>
      <w:pPr>
        <w:pStyle w:val="BodyText"/>
        <w:spacing w:line="360" w:lineRule="auto"/>
        <w:ind w:right="6" w:firstLine="539"/>
      </w:pPr>
      <w:r>
        <w:rPr/>
        <w:t>В случае предусмотрения коллективным договором, соглашениями, локальными нормативными актами, принимаемыми с учетом мнения представительного органа работников, о применении к работнику дисциплинарного взыскания за совершение дисциплинарного проступка, премия может быть уменьшена или не выплачиваться полностью за тот расчетный период, в котором к работнику</w:t>
      </w:r>
      <w:r>
        <w:rPr>
          <w:spacing w:val="-1"/>
        </w:rPr>
        <w:t> </w:t>
      </w:r>
      <w:r>
        <w:rPr/>
        <w:t>было</w:t>
      </w:r>
      <w:r>
        <w:rPr>
          <w:spacing w:val="-1"/>
        </w:rPr>
        <w:t> </w:t>
      </w:r>
      <w:r>
        <w:rPr/>
        <w:t>применено</w:t>
      </w:r>
      <w:r>
        <w:rPr>
          <w:spacing w:val="-1"/>
        </w:rPr>
        <w:t> </w:t>
      </w:r>
      <w:r>
        <w:rPr/>
        <w:t>дисциплинарное</w:t>
      </w:r>
      <w:r>
        <w:rPr>
          <w:spacing w:val="-1"/>
        </w:rPr>
        <w:t> </w:t>
      </w:r>
      <w:r>
        <w:rPr/>
        <w:t>взыскание.</w:t>
      </w:r>
      <w:r>
        <w:rPr>
          <w:spacing w:val="-1"/>
        </w:rPr>
        <w:t> </w:t>
      </w:r>
      <w:r>
        <w:rPr/>
        <w:t>При</w:t>
      </w:r>
      <w:r>
        <w:rPr>
          <w:spacing w:val="-1"/>
        </w:rPr>
        <w:t> </w:t>
      </w:r>
      <w:r>
        <w:rPr/>
        <w:t>этом</w:t>
      </w:r>
      <w:r>
        <w:rPr>
          <w:spacing w:val="-1"/>
        </w:rPr>
        <w:t> </w:t>
      </w:r>
      <w:r>
        <w:rPr/>
        <w:t>снижение</w:t>
      </w:r>
      <w:r>
        <w:rPr>
          <w:spacing w:val="-1"/>
        </w:rPr>
        <w:t> </w:t>
      </w:r>
      <w:r>
        <w:rPr/>
        <w:t>размера указанных премиальных выплат не должно приводить к уменьшению размера месячной заработной платы работника более чем на 20 процентов.</w:t>
      </w:r>
    </w:p>
    <w:p>
      <w:pPr>
        <w:pStyle w:val="BodyText"/>
        <w:spacing w:line="360" w:lineRule="auto"/>
        <w:ind w:right="6" w:firstLine="539"/>
      </w:pPr>
      <w:r>
        <w:rPr/>
        <w:t>Разработка показателей и критериев эффективности работы осуществляется с учетом следующих принципов:</w:t>
      </w:r>
    </w:p>
    <w:p>
      <w:pPr>
        <w:pStyle w:val="BodyText"/>
        <w:spacing w:after="0" w:line="360" w:lineRule="auto"/>
        <w:sectPr>
          <w:pgSz w:w="11910" w:h="16840"/>
          <w:pgMar w:top="1060" w:bottom="280" w:left="1133" w:right="566"/>
        </w:sectPr>
      </w:pPr>
    </w:p>
    <w:p>
      <w:pPr>
        <w:pStyle w:val="BodyText"/>
        <w:spacing w:line="360" w:lineRule="auto" w:before="60"/>
        <w:ind w:right="5" w:firstLine="539"/>
      </w:pPr>
      <w:r>
        <w:rPr/>
        <w:t>а) объективность - размер вознаграждения работника должен определяться на основе объективной оценки результатов его труда, а также за достижение коллективных результатов труда;</w:t>
      </w:r>
    </w:p>
    <w:p>
      <w:pPr>
        <w:pStyle w:val="BodyText"/>
        <w:spacing w:line="360" w:lineRule="auto"/>
        <w:ind w:right="5" w:firstLine="539"/>
      </w:pPr>
      <w:r>
        <w:rPr/>
        <w:t>б) предсказуемость - работник должен знать, какое вознаграждение он получит в зависимости от результатов своего труда, а также за достижение коллективных результатов труда;</w:t>
      </w:r>
    </w:p>
    <w:p>
      <w:pPr>
        <w:pStyle w:val="BodyText"/>
        <w:spacing w:line="360" w:lineRule="auto"/>
        <w:ind w:right="4" w:firstLine="539"/>
      </w:pPr>
      <w:r>
        <w:rPr/>
        <w:t>в) адекватность - вознаграждение должно быть адекватно трудовому вкладу каждого работника в результат коллективного труда;</w:t>
      </w:r>
    </w:p>
    <w:p>
      <w:pPr>
        <w:pStyle w:val="BodyText"/>
        <w:spacing w:line="360" w:lineRule="auto"/>
        <w:ind w:right="5" w:firstLine="539"/>
      </w:pPr>
      <w:r>
        <w:rPr/>
        <w:t>г) своевременность - вознаграждение должно следовать за достижением </w:t>
      </w:r>
      <w:r>
        <w:rPr>
          <w:spacing w:val="-2"/>
        </w:rPr>
        <w:t>результатов;</w:t>
      </w:r>
    </w:p>
    <w:p>
      <w:pPr>
        <w:pStyle w:val="BodyText"/>
        <w:spacing w:line="360" w:lineRule="auto"/>
        <w:ind w:right="7" w:firstLine="539"/>
      </w:pPr>
      <w:r>
        <w:rPr/>
        <w:t>д) прозрачность - правила определения вознаграждения должны быть понятны каждому работнику.».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60" w:lineRule="auto" w:before="0" w:after="0"/>
        <w:ind w:left="0" w:right="6" w:firstLine="570"/>
        <w:jc w:val="both"/>
        <w:rPr>
          <w:sz w:val="28"/>
        </w:rPr>
      </w:pPr>
      <w:r>
        <w:rPr>
          <w:sz w:val="28"/>
        </w:rPr>
        <w:t>Опубликовать настоящее постановление на официальном сайте администрации Княгининского муниципального округа Нижегородской области.</w:t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tabs>
          <w:tab w:pos="8152" w:val="left" w:leader="none"/>
        </w:tabs>
        <w:spacing w:before="322"/>
        <w:jc w:val="left"/>
      </w:pPr>
      <w:r>
        <w:rPr/>
        <w:t>Глава</w:t>
      </w:r>
      <w:r>
        <w:rPr>
          <w:spacing w:val="-4"/>
        </w:rPr>
        <w:t> </w:t>
      </w:r>
      <w:r>
        <w:rPr/>
        <w:t>местного</w:t>
      </w:r>
      <w:r>
        <w:rPr>
          <w:spacing w:val="-4"/>
        </w:rPr>
        <w:t> </w:t>
      </w:r>
      <w:r>
        <w:rPr/>
        <w:t>самоуправления</w:t>
      </w:r>
      <w:r>
        <w:rPr>
          <w:spacing w:val="-3"/>
        </w:rPr>
        <w:t> </w:t>
      </w:r>
      <w:r>
        <w:rPr>
          <w:spacing w:val="-2"/>
        </w:rPr>
        <w:t>округа</w:t>
      </w:r>
      <w:r>
        <w:rPr/>
        <w:tab/>
      </w:r>
      <w:r>
        <w:rPr>
          <w:spacing w:val="-2"/>
        </w:rPr>
        <w:t>Е.А.Шамин</w:t>
      </w:r>
    </w:p>
    <w:p>
      <w:pPr>
        <w:pStyle w:val="BodyText"/>
        <w:spacing w:before="20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3203955</wp:posOffset>
            </wp:positionH>
            <wp:positionV relativeFrom="paragraph">
              <wp:posOffset>288579</wp:posOffset>
            </wp:positionV>
            <wp:extent cx="2319297" cy="969263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9297" cy="969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60" w:bottom="280" w:left="1133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" w:hanging="282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0" w:hanging="49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-"/>
      <w:lvlJc w:val="left"/>
      <w:pPr>
        <w:ind w:left="703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68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17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466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15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63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12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1"/>
      <w:jc w:val="center"/>
      <w:outlineLvl w:val="1"/>
    </w:pPr>
    <w:rPr>
      <w:rFonts w:ascii="Times New Roman" w:hAnsi="Times New Roman" w:eastAsia="Times New Roman" w:cs="Times New Roman"/>
      <w:b/>
      <w:bCs/>
      <w:sz w:val="56"/>
      <w:szCs w:val="56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61"/>
      <w:ind w:left="703" w:hanging="163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2026-06-08T07:15:08Z</dcterms:created>
  <dcterms:modified xsi:type="dcterms:W3CDTF">2026-06-08T07:15:08Z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2026-06-05T00:00:00Z</vt:filetime>
  </property>
  <property fmtid="{D5CDD505-2E9C-101B-9397-08002B2CF9AE}" pid="3" name="Creator">
    <vt:lpwstr>r7-office/7.4.0.112</vt:lpwstr>
  </property>
  <property fmtid="{D5CDD505-2E9C-101B-9397-08002B2CF9AE}" pid="4" name="LastSaved">
    <vt:filetime>2026-06-08T00:00:00Z</vt:filetime>
  </property>
  <property fmtid="{D5CDD505-2E9C-101B-9397-08002B2CF9AE}" pid="5" name="Producer">
    <vt:lpwstr>r7-office/7.4.0.112; modified using iText® 7.1.11 ©2000-2020 iText Group NV (AGPL-version)</vt:lpwstr>
  </property>
</Properties>
</file>